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8A7" w:rsidRDefault="00C74EC2">
      <w:pPr>
        <w:spacing w:after="240" w:line="440" w:lineRule="exac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工程预算编制说明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一、工程概况</w:t>
      </w:r>
    </w:p>
    <w:p w:rsidR="005D38A7" w:rsidRDefault="00C74EC2">
      <w:pPr>
        <w:spacing w:line="44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一</w:t>
      </w:r>
      <w:r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>建设规模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本项</w:t>
      </w:r>
      <w:r>
        <w:rPr>
          <w:rFonts w:ascii="Times New Roman" w:hAnsi="Times New Roman"/>
          <w:kern w:val="0"/>
          <w:sz w:val="24"/>
        </w:rPr>
        <w:t>目</w:t>
      </w:r>
      <w:r>
        <w:rPr>
          <w:rFonts w:ascii="Times New Roman" w:hAnsi="Times New Roman" w:hint="eastAsia"/>
          <w:sz w:val="24"/>
        </w:rPr>
        <w:t>为</w:t>
      </w:r>
      <w:r>
        <w:rPr>
          <w:rFonts w:ascii="Times New Roman" w:hAnsi="Times New Roman" w:hint="eastAsia"/>
          <w:sz w:val="24"/>
        </w:rPr>
        <w:t>2023</w:t>
      </w:r>
      <w:r>
        <w:rPr>
          <w:rFonts w:ascii="Times New Roman" w:hAnsi="Times New Roman" w:hint="eastAsia"/>
          <w:sz w:val="24"/>
        </w:rPr>
        <w:t>年浙江海正药业制剂三一楼库区改造工程</w:t>
      </w:r>
      <w:r>
        <w:rPr>
          <w:rFonts w:ascii="Times New Roman" w:hAnsi="Times New Roman"/>
          <w:sz w:val="24"/>
        </w:rPr>
        <w:t>，本次装修改造范围为</w:t>
      </w:r>
      <w:r>
        <w:rPr>
          <w:rFonts w:ascii="Times New Roman" w:hAnsi="Times New Roman" w:hint="eastAsia"/>
          <w:sz w:val="24"/>
        </w:rPr>
        <w:t>：制剂三一楼库区改造</w:t>
      </w:r>
      <w:r>
        <w:rPr>
          <w:rFonts w:ascii="Times New Roman" w:hAnsi="Times New Roman"/>
          <w:sz w:val="24"/>
        </w:rPr>
        <w:t>。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二</w:t>
      </w:r>
      <w:r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>项目特征</w:t>
      </w:r>
    </w:p>
    <w:p w:rsidR="005D38A7" w:rsidRDefault="00C74EC2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本工程主要施工内容为：</w:t>
      </w:r>
      <w:r>
        <w:rPr>
          <w:rFonts w:ascii="Times New Roman" w:hAnsi="Times New Roman" w:hint="eastAsia"/>
          <w:sz w:val="24"/>
        </w:rPr>
        <w:t>制剂三一楼库区室内改造和室外改造。其中，</w:t>
      </w:r>
      <w:r>
        <w:rPr>
          <w:rFonts w:ascii="Times New Roman" w:hAnsi="Times New Roman" w:hint="eastAsia"/>
          <w:kern w:val="0"/>
          <w:sz w:val="24"/>
        </w:rPr>
        <w:t>室内改造包括：库区新做地面</w:t>
      </w:r>
      <w:r>
        <w:rPr>
          <w:rFonts w:ascii="宋体" w:hAnsi="宋体" w:cs="宋体" w:hint="eastAsia"/>
          <w:kern w:val="24"/>
          <w:sz w:val="24"/>
        </w:rPr>
        <w:t>，顶棚、墙柱面刷白，用水房间新做瓷砖墙面，出入库区域钢制防火门替换，新装快速防火卷帘门和防风卷帘门，墙洞凿除及后续封堵</w:t>
      </w:r>
      <w:r>
        <w:rPr>
          <w:rFonts w:ascii="Times New Roman" w:hAnsi="Times New Roman" w:hint="eastAsia"/>
          <w:kern w:val="0"/>
          <w:sz w:val="24"/>
        </w:rPr>
        <w:t>；室外改造包括：室外新做污水沟</w:t>
      </w:r>
      <w:r>
        <w:rPr>
          <w:rFonts w:ascii="宋体" w:hAnsi="宋体" w:cs="宋体" w:hint="eastAsia"/>
          <w:kern w:val="24"/>
          <w:sz w:val="24"/>
        </w:rPr>
        <w:t>，新做混凝土地面为卸货区，外墙面砖修复</w:t>
      </w:r>
      <w:r>
        <w:rPr>
          <w:rFonts w:ascii="Times New Roman" w:hAnsi="Times New Roman"/>
          <w:kern w:val="0"/>
          <w:sz w:val="24"/>
        </w:rPr>
        <w:t>等。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二、编制范围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kern w:val="0"/>
          <w:sz w:val="24"/>
          <w:u w:val="single"/>
        </w:rPr>
      </w:pPr>
      <w:r>
        <w:rPr>
          <w:rFonts w:ascii="Times New Roman" w:hAnsi="Times New Roman"/>
          <w:kern w:val="0"/>
          <w:sz w:val="24"/>
        </w:rPr>
        <w:t>建设方提供的施工图</w:t>
      </w:r>
      <w:r>
        <w:rPr>
          <w:rFonts w:ascii="Times New Roman" w:hAnsi="Times New Roman" w:hint="eastAsia"/>
          <w:kern w:val="0"/>
          <w:sz w:val="24"/>
        </w:rPr>
        <w:t>、用户需求确认附件</w:t>
      </w:r>
      <w:r>
        <w:rPr>
          <w:rFonts w:ascii="Times New Roman" w:hAnsi="Times New Roman"/>
          <w:kern w:val="0"/>
          <w:sz w:val="24"/>
        </w:rPr>
        <w:t>所包含的</w:t>
      </w:r>
      <w:r>
        <w:rPr>
          <w:rFonts w:ascii="Times New Roman" w:hAnsi="Times New Roman" w:hint="eastAsia"/>
          <w:kern w:val="0"/>
          <w:sz w:val="24"/>
        </w:rPr>
        <w:t>改造</w:t>
      </w:r>
      <w:r>
        <w:rPr>
          <w:rFonts w:ascii="宋体" w:hAnsi="宋体" w:cs="宋体" w:hint="eastAsia"/>
          <w:kern w:val="24"/>
          <w:sz w:val="24"/>
          <w:lang w:val="zh-CN"/>
        </w:rPr>
        <w:t>工程</w:t>
      </w:r>
      <w:r>
        <w:rPr>
          <w:rFonts w:ascii="Times New Roman" w:hAnsi="Times New Roman"/>
          <w:kern w:val="0"/>
          <w:sz w:val="24"/>
        </w:rPr>
        <w:t>。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三、主要编制依据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1. </w:t>
      </w:r>
      <w:r>
        <w:rPr>
          <w:rFonts w:ascii="Times New Roman" w:hAnsi="Times New Roman" w:hint="eastAsia"/>
          <w:kern w:val="0"/>
          <w:sz w:val="24"/>
        </w:rPr>
        <w:t>建设单位提供的电子版图纸</w:t>
      </w:r>
      <w:r>
        <w:rPr>
          <w:rFonts w:ascii="Times New Roman" w:hAnsi="Times New Roman" w:hint="eastAsia"/>
          <w:kern w:val="0"/>
          <w:sz w:val="24"/>
        </w:rPr>
        <w:t>、</w:t>
      </w:r>
      <w:r>
        <w:rPr>
          <w:rFonts w:ascii="Times New Roman" w:hAnsi="Times New Roman" w:hint="eastAsia"/>
          <w:kern w:val="0"/>
          <w:sz w:val="24"/>
        </w:rPr>
        <w:t>用户需求确认附件</w:t>
      </w:r>
      <w:r>
        <w:rPr>
          <w:rFonts w:ascii="Times New Roman" w:hAnsi="Times New Roman" w:hint="eastAsia"/>
          <w:kern w:val="0"/>
          <w:sz w:val="24"/>
        </w:rPr>
        <w:t>、预算编制问题回复</w:t>
      </w:r>
      <w:r>
        <w:rPr>
          <w:rFonts w:ascii="Times New Roman" w:hAnsi="Times New Roman" w:hint="eastAsia"/>
          <w:kern w:val="0"/>
          <w:sz w:val="24"/>
        </w:rPr>
        <w:t>；</w:t>
      </w:r>
    </w:p>
    <w:p w:rsidR="005D38A7" w:rsidRDefault="00C74EC2">
      <w:pPr>
        <w:spacing w:line="440" w:lineRule="exact"/>
        <w:ind w:firstLine="482"/>
        <w:rPr>
          <w:rFonts w:ascii="宋体" w:hAnsi="宋体"/>
          <w:sz w:val="24"/>
        </w:rPr>
      </w:pPr>
      <w:r>
        <w:rPr>
          <w:rFonts w:ascii="Times New Roman" w:hAnsi="Times New Roman"/>
          <w:kern w:val="0"/>
          <w:sz w:val="24"/>
        </w:rPr>
        <w:t>2.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《建设工程工程量清单计价规范》</w:t>
      </w:r>
      <w:r>
        <w:rPr>
          <w:rFonts w:ascii="宋体" w:hAnsi="宋体" w:hint="eastAsia"/>
          <w:sz w:val="24"/>
        </w:rPr>
        <w:t>(GB50500-2013)</w:t>
      </w:r>
      <w:r>
        <w:rPr>
          <w:rFonts w:ascii="宋体" w:hAnsi="宋体" w:hint="eastAsia"/>
          <w:sz w:val="24"/>
        </w:rPr>
        <w:t>、《房屋建筑与装饰工程工程量计算规范》</w:t>
      </w:r>
      <w:r>
        <w:rPr>
          <w:rFonts w:ascii="宋体" w:hAnsi="宋体" w:hint="eastAsia"/>
          <w:sz w:val="24"/>
        </w:rPr>
        <w:t>(GB50854-2013)</w:t>
      </w:r>
      <w:r>
        <w:rPr>
          <w:rFonts w:ascii="宋体" w:hAnsi="宋体" w:hint="eastAsia"/>
          <w:sz w:val="24"/>
        </w:rPr>
        <w:t>、《通用安装工程工程量计算规范》</w:t>
      </w:r>
      <w:r>
        <w:rPr>
          <w:rFonts w:ascii="宋体" w:hAnsi="宋体" w:hint="eastAsia"/>
          <w:sz w:val="24"/>
        </w:rPr>
        <w:t>(GB50856-2013)</w:t>
      </w:r>
      <w:r>
        <w:rPr>
          <w:rFonts w:ascii="宋体" w:hAnsi="宋体" w:hint="eastAsia"/>
          <w:sz w:val="24"/>
        </w:rPr>
        <w:t>、《浙江省建设工程工程量清单计价指引》</w:t>
      </w:r>
      <w:r>
        <w:rPr>
          <w:rFonts w:ascii="宋体" w:hAnsi="宋体" w:hint="eastAsia"/>
          <w:sz w:val="24"/>
        </w:rPr>
        <w:t>(</w:t>
      </w:r>
      <w:r>
        <w:rPr>
          <w:rFonts w:ascii="宋体" w:hAnsi="宋体" w:hint="eastAsia"/>
          <w:sz w:val="24"/>
        </w:rPr>
        <w:t>建筑装饰工程、通用安装工程</w:t>
      </w:r>
      <w:r>
        <w:rPr>
          <w:rFonts w:ascii="宋体" w:hAnsi="宋体" w:hint="eastAsia"/>
          <w:sz w:val="24"/>
        </w:rPr>
        <w:t>)</w:t>
      </w:r>
      <w:r>
        <w:rPr>
          <w:rFonts w:ascii="宋体" w:hAnsi="宋体" w:hint="eastAsia"/>
          <w:sz w:val="24"/>
        </w:rPr>
        <w:t>及浙江省有关补充规定、</w:t>
      </w:r>
      <w:r>
        <w:rPr>
          <w:rFonts w:ascii="宋体" w:hAnsi="宋体" w:cs="宋体" w:hint="eastAsia"/>
          <w:sz w:val="24"/>
        </w:rPr>
        <w:t>浙建建发〔</w:t>
      </w:r>
      <w:r>
        <w:rPr>
          <w:rFonts w:ascii="宋体" w:hAnsi="宋体" w:cs="宋体" w:hint="eastAsia"/>
          <w:sz w:val="24"/>
        </w:rPr>
        <w:t>2019</w:t>
      </w:r>
      <w:r>
        <w:rPr>
          <w:rFonts w:ascii="宋体" w:hAnsi="宋体" w:cs="宋体" w:hint="eastAsia"/>
          <w:sz w:val="24"/>
        </w:rPr>
        <w:t>〕</w:t>
      </w:r>
      <w:r>
        <w:rPr>
          <w:rFonts w:ascii="宋体" w:hAnsi="宋体" w:cs="宋体" w:hint="eastAsia"/>
          <w:sz w:val="24"/>
        </w:rPr>
        <w:t>92</w:t>
      </w:r>
      <w:r>
        <w:rPr>
          <w:rFonts w:ascii="宋体" w:hAnsi="宋体" w:cs="宋体" w:hint="eastAsia"/>
          <w:sz w:val="24"/>
        </w:rPr>
        <w:t>号</w:t>
      </w:r>
      <w:r>
        <w:rPr>
          <w:rFonts w:ascii="宋体" w:hAnsi="宋体" w:hint="eastAsia"/>
          <w:sz w:val="24"/>
        </w:rPr>
        <w:t>；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kern w:val="0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Times New Roman" w:hAnsi="Times New Roman" w:hint="eastAsia"/>
          <w:kern w:val="0"/>
          <w:sz w:val="24"/>
        </w:rPr>
        <w:t>《浙江省建设工程计价规则》</w:t>
      </w:r>
      <w:r>
        <w:rPr>
          <w:rFonts w:ascii="Times New Roman" w:hAnsi="Times New Roman" w:hint="eastAsia"/>
          <w:kern w:val="0"/>
          <w:sz w:val="24"/>
        </w:rPr>
        <w:t>(2018</w:t>
      </w:r>
      <w:r>
        <w:rPr>
          <w:rFonts w:ascii="Times New Roman" w:hAnsi="Times New Roman" w:hint="eastAsia"/>
          <w:kern w:val="0"/>
          <w:sz w:val="24"/>
        </w:rPr>
        <w:t>版</w:t>
      </w:r>
      <w:r>
        <w:rPr>
          <w:rFonts w:ascii="Times New Roman" w:hAnsi="Times New Roman" w:hint="eastAsia"/>
          <w:kern w:val="0"/>
          <w:sz w:val="24"/>
        </w:rPr>
        <w:t>)</w:t>
      </w:r>
      <w:r>
        <w:rPr>
          <w:rFonts w:ascii="Times New Roman" w:hAnsi="Times New Roman" w:hint="eastAsia"/>
          <w:kern w:val="0"/>
          <w:sz w:val="24"/>
        </w:rPr>
        <w:t>、</w:t>
      </w:r>
      <w:r>
        <w:rPr>
          <w:rFonts w:ascii="Times New Roman" w:hAnsi="Times New Roman" w:hint="eastAsia"/>
          <w:kern w:val="0"/>
          <w:sz w:val="24"/>
        </w:rPr>
        <w:t>《浙江省房屋建筑与装饰工程预算定额》</w:t>
      </w:r>
      <w:r>
        <w:rPr>
          <w:rFonts w:ascii="Times New Roman" w:hAnsi="Times New Roman" w:hint="eastAsia"/>
          <w:kern w:val="0"/>
          <w:sz w:val="24"/>
        </w:rPr>
        <w:t>(2018</w:t>
      </w:r>
      <w:r>
        <w:rPr>
          <w:rFonts w:ascii="Times New Roman" w:hAnsi="Times New Roman" w:hint="eastAsia"/>
          <w:kern w:val="0"/>
          <w:sz w:val="24"/>
        </w:rPr>
        <w:t>版</w:t>
      </w:r>
      <w:r>
        <w:rPr>
          <w:rFonts w:ascii="Times New Roman" w:hAnsi="Times New Roman" w:hint="eastAsia"/>
          <w:kern w:val="0"/>
          <w:sz w:val="24"/>
        </w:rPr>
        <w:t>)</w:t>
      </w:r>
      <w:r>
        <w:rPr>
          <w:rFonts w:ascii="Times New Roman" w:hAnsi="Times New Roman" w:hint="eastAsia"/>
          <w:kern w:val="0"/>
          <w:sz w:val="24"/>
        </w:rPr>
        <w:t>、</w:t>
      </w:r>
      <w:r>
        <w:rPr>
          <w:rFonts w:ascii="Times New Roman" w:hAnsi="Times New Roman" w:hint="eastAsia"/>
          <w:kern w:val="0"/>
          <w:sz w:val="24"/>
        </w:rPr>
        <w:t>《浙江省通用安装工程预算定额》</w:t>
      </w:r>
      <w:r>
        <w:rPr>
          <w:rFonts w:ascii="Times New Roman" w:hAnsi="Times New Roman" w:hint="eastAsia"/>
          <w:kern w:val="0"/>
          <w:sz w:val="24"/>
        </w:rPr>
        <w:t>(2018</w:t>
      </w:r>
      <w:r>
        <w:rPr>
          <w:rFonts w:ascii="Times New Roman" w:hAnsi="Times New Roman" w:hint="eastAsia"/>
          <w:kern w:val="0"/>
          <w:sz w:val="24"/>
        </w:rPr>
        <w:t>版</w:t>
      </w:r>
      <w:r>
        <w:rPr>
          <w:rFonts w:ascii="Times New Roman" w:hAnsi="Times New Roman" w:hint="eastAsia"/>
          <w:kern w:val="0"/>
          <w:sz w:val="24"/>
        </w:rPr>
        <w:t>)</w:t>
      </w:r>
      <w:r>
        <w:rPr>
          <w:rFonts w:ascii="Times New Roman" w:hAnsi="Times New Roman" w:hint="eastAsia"/>
          <w:kern w:val="0"/>
          <w:sz w:val="24"/>
        </w:rPr>
        <w:t>；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4</w:t>
      </w:r>
      <w:r>
        <w:rPr>
          <w:rFonts w:ascii="Times New Roman" w:hAnsi="Times New Roman"/>
          <w:kern w:val="0"/>
          <w:sz w:val="24"/>
        </w:rPr>
        <w:t>.</w:t>
      </w:r>
      <w:r>
        <w:rPr>
          <w:rFonts w:ascii="Times New Roman" w:hAnsi="Times New Roman" w:hint="eastAsia"/>
          <w:kern w:val="0"/>
          <w:sz w:val="24"/>
        </w:rPr>
        <w:t>《台州造价》（正刊）（市区）</w:t>
      </w:r>
      <w:r>
        <w:rPr>
          <w:rFonts w:ascii="Times New Roman" w:hAnsi="Times New Roman" w:hint="eastAsia"/>
          <w:kern w:val="0"/>
          <w:sz w:val="24"/>
        </w:rPr>
        <w:t>(2023</w:t>
      </w:r>
      <w:r>
        <w:rPr>
          <w:rFonts w:ascii="Times New Roman" w:hAnsi="Times New Roman" w:hint="eastAsia"/>
          <w:kern w:val="0"/>
          <w:sz w:val="24"/>
        </w:rPr>
        <w:t>年</w:t>
      </w:r>
      <w:r>
        <w:rPr>
          <w:rFonts w:ascii="Times New Roman" w:hAnsi="Times New Roman" w:hint="eastAsia"/>
          <w:kern w:val="0"/>
          <w:sz w:val="24"/>
        </w:rPr>
        <w:t>5</w:t>
      </w:r>
      <w:r>
        <w:rPr>
          <w:rFonts w:ascii="Times New Roman" w:hAnsi="Times New Roman" w:hint="eastAsia"/>
          <w:kern w:val="0"/>
          <w:sz w:val="24"/>
        </w:rPr>
        <w:t>月</w:t>
      </w:r>
      <w:r>
        <w:rPr>
          <w:rFonts w:ascii="Times New Roman" w:hAnsi="Times New Roman" w:hint="eastAsia"/>
          <w:kern w:val="0"/>
          <w:sz w:val="24"/>
        </w:rPr>
        <w:t>)</w:t>
      </w:r>
      <w:r>
        <w:rPr>
          <w:rFonts w:ascii="Times New Roman" w:hAnsi="Times New Roman" w:hint="eastAsia"/>
          <w:kern w:val="0"/>
          <w:sz w:val="24"/>
        </w:rPr>
        <w:t>、《浙江造价信息》（正刊）</w:t>
      </w:r>
      <w:r>
        <w:rPr>
          <w:rFonts w:ascii="Times New Roman" w:hAnsi="Times New Roman" w:hint="eastAsia"/>
          <w:kern w:val="0"/>
          <w:sz w:val="24"/>
        </w:rPr>
        <w:t>(2023</w:t>
      </w:r>
      <w:r>
        <w:rPr>
          <w:rFonts w:ascii="Times New Roman" w:hAnsi="Times New Roman" w:hint="eastAsia"/>
          <w:kern w:val="0"/>
          <w:sz w:val="24"/>
        </w:rPr>
        <w:t>年</w:t>
      </w:r>
      <w:r>
        <w:rPr>
          <w:rFonts w:ascii="Times New Roman" w:hAnsi="Times New Roman" w:hint="eastAsia"/>
          <w:kern w:val="0"/>
          <w:sz w:val="24"/>
        </w:rPr>
        <w:t>5</w:t>
      </w:r>
      <w:r>
        <w:rPr>
          <w:rFonts w:ascii="Times New Roman" w:hAnsi="Times New Roman" w:hint="eastAsia"/>
          <w:kern w:val="0"/>
          <w:sz w:val="24"/>
        </w:rPr>
        <w:t>月</w:t>
      </w:r>
      <w:r>
        <w:rPr>
          <w:rFonts w:ascii="Times New Roman" w:hAnsi="Times New Roman" w:hint="eastAsia"/>
          <w:kern w:val="0"/>
          <w:sz w:val="24"/>
        </w:rPr>
        <w:t>)</w:t>
      </w:r>
      <w:r>
        <w:rPr>
          <w:rFonts w:ascii="Times New Roman" w:hAnsi="Times New Roman" w:hint="eastAsia"/>
          <w:kern w:val="0"/>
          <w:sz w:val="24"/>
        </w:rPr>
        <w:t>；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5</w:t>
      </w:r>
      <w:r>
        <w:rPr>
          <w:rFonts w:ascii="Times New Roman" w:hAnsi="Times New Roman"/>
          <w:kern w:val="0"/>
          <w:sz w:val="24"/>
        </w:rPr>
        <w:t xml:space="preserve">. </w:t>
      </w:r>
      <w:r>
        <w:rPr>
          <w:rFonts w:ascii="Times New Roman" w:hAnsi="Times New Roman" w:hint="eastAsia"/>
          <w:kern w:val="0"/>
          <w:sz w:val="24"/>
        </w:rPr>
        <w:t>相关的设计标准、规范、图集；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kern w:val="0"/>
          <w:sz w:val="24"/>
        </w:rPr>
        <w:t>6</w:t>
      </w:r>
      <w:r>
        <w:rPr>
          <w:rFonts w:ascii="Times New Roman" w:hAnsi="Times New Roman" w:hint="eastAsia"/>
          <w:kern w:val="0"/>
          <w:sz w:val="24"/>
        </w:rPr>
        <w:t xml:space="preserve">. </w:t>
      </w:r>
      <w:r>
        <w:rPr>
          <w:rFonts w:ascii="Times New Roman" w:hAnsi="Times New Roman"/>
          <w:kern w:val="0"/>
          <w:sz w:val="24"/>
        </w:rPr>
        <w:t>省、市建设行政主管部门有关工程造价文件</w:t>
      </w:r>
      <w:r>
        <w:rPr>
          <w:rFonts w:ascii="Times New Roman" w:hAnsi="Times New Roman"/>
          <w:sz w:val="24"/>
        </w:rPr>
        <w:t>及补充定额和定额解释等。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四、编制情况说明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1. </w:t>
      </w:r>
      <w:r>
        <w:rPr>
          <w:rFonts w:ascii="Times New Roman" w:hAnsi="Times New Roman"/>
          <w:kern w:val="0"/>
          <w:sz w:val="24"/>
        </w:rPr>
        <w:t>计价方式：</w:t>
      </w:r>
      <w:r>
        <w:rPr>
          <w:rFonts w:ascii="Times New Roman" w:hAnsi="Times New Roman"/>
          <w:sz w:val="24"/>
        </w:rPr>
        <w:t>采用</w:t>
      </w:r>
      <w:r>
        <w:rPr>
          <w:rFonts w:ascii="Times New Roman" w:hAnsi="Times New Roman" w:hint="eastAsia"/>
          <w:sz w:val="24"/>
        </w:rPr>
        <w:t>国标</w:t>
      </w:r>
      <w:r>
        <w:rPr>
          <w:rFonts w:ascii="Times New Roman" w:hAnsi="Times New Roman" w:hint="eastAsia"/>
          <w:sz w:val="24"/>
        </w:rPr>
        <w:t>清单</w:t>
      </w:r>
      <w:r>
        <w:rPr>
          <w:rFonts w:ascii="Times New Roman" w:hAnsi="Times New Roman"/>
          <w:sz w:val="24"/>
        </w:rPr>
        <w:t>计价</w:t>
      </w:r>
      <w:r>
        <w:rPr>
          <w:rFonts w:ascii="Times New Roman" w:hAnsi="Times New Roman"/>
          <w:kern w:val="0"/>
          <w:sz w:val="24"/>
        </w:rPr>
        <w:t>、增值税按一般计税方法计算；</w:t>
      </w:r>
    </w:p>
    <w:p w:rsidR="005D38A7" w:rsidRDefault="00C74EC2">
      <w:pPr>
        <w:spacing w:line="360" w:lineRule="auto"/>
        <w:ind w:firstLine="482"/>
        <w:rPr>
          <w:rFonts w:ascii="宋体" w:hAnsi="宋体" w:cs="宋体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</w:t>
      </w:r>
      <w:r>
        <w:rPr>
          <w:rFonts w:ascii="宋体" w:hAnsi="宋体" w:cs="宋体" w:hint="eastAsia"/>
          <w:sz w:val="24"/>
        </w:rPr>
        <w:t>取费标准：</w:t>
      </w:r>
      <w:r>
        <w:rPr>
          <w:rFonts w:ascii="宋体" w:hAnsi="宋体" w:cs="宋体"/>
          <w:sz w:val="24"/>
        </w:rPr>
        <w:t>按浙江省</w:t>
      </w:r>
      <w:r>
        <w:rPr>
          <w:rFonts w:ascii="宋体" w:hAnsi="宋体" w:cs="宋体"/>
          <w:sz w:val="24"/>
        </w:rPr>
        <w:t>2018</w:t>
      </w:r>
      <w:r>
        <w:rPr>
          <w:rFonts w:ascii="宋体" w:hAnsi="宋体" w:cs="宋体"/>
          <w:sz w:val="24"/>
        </w:rPr>
        <w:t>版计价规则中</w:t>
      </w:r>
      <w:r>
        <w:rPr>
          <w:rFonts w:ascii="宋体" w:hAnsi="宋体" w:cs="宋体" w:hint="eastAsia"/>
          <w:sz w:val="24"/>
        </w:rPr>
        <w:t>房屋</w:t>
      </w:r>
      <w:r>
        <w:rPr>
          <w:rFonts w:ascii="Times New Roman" w:hAnsi="Times New Roman" w:hint="eastAsia"/>
          <w:kern w:val="0"/>
          <w:sz w:val="24"/>
        </w:rPr>
        <w:t>建筑</w:t>
      </w:r>
      <w:r>
        <w:rPr>
          <w:rFonts w:hint="eastAsia"/>
          <w:kern w:val="0"/>
          <w:sz w:val="24"/>
        </w:rPr>
        <w:t>及构筑物</w:t>
      </w:r>
      <w:r>
        <w:rPr>
          <w:rFonts w:ascii="宋体" w:hAnsi="宋体" w:cs="宋体"/>
          <w:sz w:val="24"/>
        </w:rPr>
        <w:t>工程一般计税中值计取，其中施工组织措施费中安全文明施工基本费按市区工程</w:t>
      </w:r>
      <w:r>
        <w:rPr>
          <w:rFonts w:ascii="宋体" w:hAnsi="宋体" w:cs="宋体" w:hint="eastAsia"/>
          <w:sz w:val="24"/>
        </w:rPr>
        <w:t>考虑（不考虑</w:t>
      </w:r>
      <w:r>
        <w:rPr>
          <w:rFonts w:ascii="宋体" w:hAnsi="宋体" w:cs="宋体"/>
          <w:sz w:val="24"/>
        </w:rPr>
        <w:t>浙建建发〔</w:t>
      </w:r>
      <w:r>
        <w:rPr>
          <w:rFonts w:ascii="宋体" w:hAnsi="宋体" w:cs="宋体"/>
          <w:sz w:val="24"/>
        </w:rPr>
        <w:t>2022</w:t>
      </w:r>
      <w:r>
        <w:rPr>
          <w:rFonts w:ascii="宋体" w:hAnsi="宋体" w:cs="宋体"/>
          <w:sz w:val="24"/>
        </w:rPr>
        <w:t>〕</w:t>
      </w:r>
      <w:r>
        <w:rPr>
          <w:rFonts w:ascii="宋体" w:hAnsi="宋体" w:cs="宋体"/>
          <w:sz w:val="24"/>
        </w:rPr>
        <w:t>37</w:t>
      </w:r>
      <w:r>
        <w:rPr>
          <w:rFonts w:ascii="宋体" w:hAnsi="宋体" w:cs="宋体"/>
          <w:sz w:val="24"/>
        </w:rPr>
        <w:t>号</w:t>
      </w:r>
      <w:r>
        <w:rPr>
          <w:rFonts w:ascii="宋体" w:hAnsi="宋体" w:cs="宋体" w:hint="eastAsia"/>
          <w:sz w:val="24"/>
        </w:rPr>
        <w:t>文件的调整，</w:t>
      </w:r>
      <w:r>
        <w:rPr>
          <w:rFonts w:ascii="宋体" w:hAnsi="宋体" w:cs="宋体"/>
          <w:sz w:val="24"/>
        </w:rPr>
        <w:t>未计提前竣工增加费、标化工地增加费</w:t>
      </w:r>
      <w:r>
        <w:rPr>
          <w:rFonts w:ascii="宋体" w:hAnsi="宋体" w:cs="宋体"/>
          <w:sz w:val="24"/>
        </w:rPr>
        <w:t>)</w:t>
      </w:r>
      <w:r>
        <w:rPr>
          <w:rFonts w:ascii="宋体" w:hAnsi="宋体" w:cs="宋体" w:hint="eastAsia"/>
          <w:sz w:val="24"/>
        </w:rPr>
        <w:t>，即企业管理费</w:t>
      </w:r>
      <w:r>
        <w:rPr>
          <w:rFonts w:ascii="宋体" w:hAnsi="宋体" w:cs="宋体" w:hint="eastAsia"/>
          <w:sz w:val="24"/>
        </w:rPr>
        <w:t>16.57%</w:t>
      </w:r>
      <w:r>
        <w:rPr>
          <w:rFonts w:ascii="宋体" w:hAnsi="宋体" w:cs="宋体" w:hint="eastAsia"/>
          <w:sz w:val="24"/>
        </w:rPr>
        <w:t>、利润</w:t>
      </w:r>
      <w:r>
        <w:rPr>
          <w:rFonts w:ascii="宋体" w:hAnsi="宋体" w:cs="宋体" w:hint="eastAsia"/>
          <w:sz w:val="24"/>
        </w:rPr>
        <w:t>8.1%</w:t>
      </w:r>
      <w:r>
        <w:rPr>
          <w:rFonts w:ascii="宋体" w:hAnsi="宋体" w:cs="宋体" w:hint="eastAsia"/>
          <w:sz w:val="24"/>
        </w:rPr>
        <w:t>、规费</w:t>
      </w:r>
      <w:r>
        <w:rPr>
          <w:rFonts w:ascii="宋体" w:hAnsi="宋体" w:cs="宋体" w:hint="eastAsia"/>
          <w:sz w:val="24"/>
        </w:rPr>
        <w:t>25.78%</w:t>
      </w:r>
      <w:r>
        <w:rPr>
          <w:rFonts w:ascii="宋体" w:hAnsi="宋体" w:cs="宋体" w:hint="eastAsia"/>
          <w:sz w:val="24"/>
        </w:rPr>
        <w:t>、安全文明施工基本费</w:t>
      </w:r>
      <w:r>
        <w:rPr>
          <w:rFonts w:ascii="宋体" w:hAnsi="宋体" w:cs="宋体" w:hint="eastAsia"/>
          <w:sz w:val="24"/>
        </w:rPr>
        <w:t>10.95%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lastRenderedPageBreak/>
        <w:t>二次搬运费</w:t>
      </w:r>
      <w:r>
        <w:rPr>
          <w:rFonts w:ascii="宋体" w:hAnsi="宋体" w:cs="宋体" w:hint="eastAsia"/>
          <w:sz w:val="24"/>
        </w:rPr>
        <w:t>0.5%</w:t>
      </w:r>
      <w:r>
        <w:rPr>
          <w:rFonts w:ascii="宋体" w:hAnsi="宋体" w:cs="宋体" w:hint="eastAsia"/>
          <w:sz w:val="24"/>
        </w:rPr>
        <w:t>、冬雨季施工增加费</w:t>
      </w:r>
      <w:r>
        <w:rPr>
          <w:rFonts w:ascii="宋体" w:hAnsi="宋体" w:cs="宋体" w:hint="eastAsia"/>
          <w:sz w:val="24"/>
        </w:rPr>
        <w:t>0.11%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/>
          <w:sz w:val="24"/>
        </w:rPr>
        <w:t>税金按</w:t>
      </w:r>
      <w:r>
        <w:rPr>
          <w:rFonts w:ascii="Times New Roman" w:hAnsi="Times New Roman" w:hint="eastAsia"/>
          <w:kern w:val="0"/>
          <w:sz w:val="24"/>
        </w:rPr>
        <w:t>提供的</w:t>
      </w:r>
      <w:r>
        <w:rPr>
          <w:rFonts w:hint="eastAsia"/>
          <w:kern w:val="0"/>
          <w:sz w:val="24"/>
        </w:rPr>
        <w:t>施工方案中的要求</w:t>
      </w:r>
      <w:r>
        <w:rPr>
          <w:rFonts w:ascii="宋体" w:hAnsi="宋体" w:cs="宋体"/>
          <w:sz w:val="24"/>
        </w:rPr>
        <w:t>税率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/>
          <w:sz w:val="24"/>
        </w:rPr>
        <w:t>%</w:t>
      </w:r>
      <w:r>
        <w:rPr>
          <w:rFonts w:ascii="宋体" w:hAnsi="宋体" w:cs="宋体"/>
          <w:sz w:val="24"/>
        </w:rPr>
        <w:t>计取，未考虑优质工程增加费等其他项目费和风险费</w:t>
      </w:r>
      <w:r>
        <w:rPr>
          <w:rFonts w:ascii="宋体" w:hAnsi="宋体" w:cs="宋体"/>
          <w:sz w:val="24"/>
        </w:rPr>
        <w:t>；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</w:t>
      </w:r>
      <w:r>
        <w:rPr>
          <w:rFonts w:ascii="Times New Roman" w:hAnsi="Times New Roman"/>
          <w:kern w:val="0"/>
          <w:sz w:val="24"/>
        </w:rPr>
        <w:t>人工、材料单价按照《台州造价》正刊</w:t>
      </w:r>
      <w:r>
        <w:rPr>
          <w:rFonts w:ascii="Times New Roman" w:hAnsi="Times New Roman"/>
          <w:kern w:val="0"/>
          <w:sz w:val="24"/>
        </w:rPr>
        <w:t>202</w:t>
      </w:r>
      <w:r>
        <w:rPr>
          <w:rFonts w:ascii="Times New Roman" w:hAnsi="Times New Roman" w:hint="eastAsia"/>
          <w:kern w:val="0"/>
          <w:sz w:val="24"/>
        </w:rPr>
        <w:t>3</w:t>
      </w:r>
      <w:r>
        <w:rPr>
          <w:rFonts w:ascii="Times New Roman" w:hAnsi="Times New Roman"/>
          <w:kern w:val="0"/>
          <w:sz w:val="24"/>
        </w:rPr>
        <w:t>年</w:t>
      </w:r>
      <w:r>
        <w:rPr>
          <w:rFonts w:ascii="Times New Roman" w:hAnsi="Times New Roman" w:hint="eastAsia"/>
          <w:kern w:val="0"/>
          <w:sz w:val="24"/>
        </w:rPr>
        <w:t>5</w:t>
      </w:r>
      <w:r>
        <w:rPr>
          <w:rFonts w:ascii="Times New Roman" w:hAnsi="Times New Roman"/>
          <w:kern w:val="0"/>
          <w:sz w:val="24"/>
        </w:rPr>
        <w:t>月</w:t>
      </w:r>
      <w:r>
        <w:rPr>
          <w:rFonts w:ascii="Times New Roman" w:hAnsi="Times New Roman" w:hint="eastAsia"/>
          <w:kern w:val="0"/>
          <w:sz w:val="24"/>
        </w:rPr>
        <w:t>市区地区</w:t>
      </w:r>
      <w:r>
        <w:rPr>
          <w:rFonts w:ascii="Times New Roman" w:hAnsi="Times New Roman"/>
          <w:kern w:val="0"/>
          <w:sz w:val="24"/>
        </w:rPr>
        <w:t>除税</w:t>
      </w:r>
      <w:r>
        <w:rPr>
          <w:rFonts w:ascii="Times New Roman" w:hAnsi="Times New Roman"/>
          <w:sz w:val="24"/>
        </w:rPr>
        <w:t>信息价计取；</w:t>
      </w:r>
    </w:p>
    <w:p w:rsidR="005D38A7" w:rsidRDefault="00C74EC2">
      <w:pPr>
        <w:spacing w:line="440" w:lineRule="exact"/>
        <w:ind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五、编制结果</w:t>
      </w:r>
    </w:p>
    <w:p w:rsidR="005D38A7" w:rsidRDefault="00C74EC2">
      <w:pPr>
        <w:spacing w:line="44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工程预算造价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大写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 w:hint="eastAsia"/>
          <w:sz w:val="24"/>
        </w:rPr>
        <w:t>：</w:t>
      </w:r>
      <w:bookmarkStart w:id="0" w:name="FAuditPrice1"/>
      <w:r w:rsidR="005D38A7" w:rsidRPr="005D38A7">
        <w:rPr>
          <w:rFonts w:ascii="Times New Roman" w:hAnsi="Times New Roman" w:hint="eastAsia"/>
          <w:sz w:val="24"/>
        </w:rPr>
        <w:t>柒拾万柒仟肆佰玖拾玖元</w:t>
      </w:r>
      <w:r>
        <w:rPr>
          <w:rFonts w:hint="eastAsia"/>
          <w:sz w:val="24"/>
        </w:rPr>
        <w:t>整</w:t>
      </w:r>
      <w:bookmarkEnd w:id="0"/>
      <w:r>
        <w:rPr>
          <w:rFonts w:ascii="Times New Roman" w:hAnsi="Times New Roman" w:hint="eastAsia"/>
          <w:sz w:val="24"/>
        </w:rPr>
        <w:t>(¥:</w:t>
      </w:r>
      <w:bookmarkStart w:id="1" w:name="FAuditPrice"/>
      <w:r w:rsidR="005D38A7">
        <w:rPr>
          <w:rFonts w:ascii="Times New Roman" w:hAnsi="Times New Roman"/>
          <w:sz w:val="24"/>
        </w:rPr>
        <w:t>707499</w:t>
      </w:r>
      <w:bookmarkEnd w:id="1"/>
      <w:r>
        <w:rPr>
          <w:rFonts w:ascii="Times New Roman" w:hAnsi="Times New Roman" w:hint="eastAsia"/>
          <w:sz w:val="24"/>
        </w:rPr>
        <w:t>元</w:t>
      </w:r>
      <w:r>
        <w:rPr>
          <w:rFonts w:ascii="Times New Roman" w:hAnsi="Times New Roman" w:hint="eastAsia"/>
          <w:sz w:val="24"/>
        </w:rPr>
        <w:t>)</w:t>
      </w:r>
      <w:r>
        <w:rPr>
          <w:rFonts w:ascii="Times New Roman" w:hAnsi="Times New Roman"/>
          <w:sz w:val="24"/>
        </w:rPr>
        <w:t>。</w:t>
      </w:r>
    </w:p>
    <w:p w:rsidR="005D38A7" w:rsidRDefault="00C74EC2">
      <w:pPr>
        <w:spacing w:line="460" w:lineRule="exact"/>
        <w:ind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六、特别事项说明</w:t>
      </w:r>
    </w:p>
    <w:p w:rsidR="005D38A7" w:rsidRDefault="00C74EC2">
      <w:pPr>
        <w:spacing w:line="46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截止本预算报告出具日，受托方尚未收到施工蓝图和招标文件，由此可能带来的影响，与受托方无关；</w:t>
      </w:r>
    </w:p>
    <w:p w:rsidR="005D38A7" w:rsidRDefault="00C74EC2">
      <w:pPr>
        <w:spacing w:line="46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sz w:val="24"/>
        </w:rPr>
        <w:t>本预算编制报告增值税按一般计税方法计税，建设单位应在招标文件及合同中明确增值税的计税方法，如采用简易计税方法计取增值税，建议在招标文件、施工合同中明确相应调整方法；</w:t>
      </w:r>
    </w:p>
    <w:p w:rsidR="005D38A7" w:rsidRPr="005D38A7" w:rsidRDefault="005D38A7" w:rsidP="005D38A7">
      <w:pPr>
        <w:spacing w:line="460" w:lineRule="exact"/>
        <w:ind w:firstLine="482"/>
        <w:rPr>
          <w:rFonts w:ascii="Times New Roman" w:hAnsi="Times New Roman"/>
          <w:sz w:val="24"/>
        </w:rPr>
      </w:pPr>
      <w:r w:rsidRPr="005D38A7">
        <w:rPr>
          <w:rFonts w:ascii="Times New Roman" w:hAnsi="Times New Roman"/>
          <w:sz w:val="24"/>
        </w:rPr>
        <w:t xml:space="preserve">3. </w:t>
      </w:r>
      <w:r w:rsidRPr="005D38A7">
        <w:rPr>
          <w:rFonts w:ascii="Times New Roman" w:hAnsi="Times New Roman" w:hint="eastAsia"/>
          <w:sz w:val="24"/>
        </w:rPr>
        <w:t>征求委托方意见</w:t>
      </w:r>
      <w:r w:rsidRPr="005D38A7">
        <w:rPr>
          <w:rFonts w:ascii="Times New Roman" w:hAnsi="Times New Roman"/>
          <w:sz w:val="24"/>
        </w:rPr>
        <w:t>安全文明施工基本费</w:t>
      </w:r>
      <w:r w:rsidRPr="005D38A7">
        <w:rPr>
          <w:rFonts w:ascii="Times New Roman" w:hAnsi="Times New Roman" w:hint="eastAsia"/>
          <w:sz w:val="24"/>
        </w:rPr>
        <w:t>不考虑</w:t>
      </w:r>
      <w:r w:rsidRPr="005D38A7">
        <w:rPr>
          <w:rFonts w:ascii="Times New Roman" w:hAnsi="Times New Roman"/>
          <w:sz w:val="24"/>
        </w:rPr>
        <w:t>浙建建发〔</w:t>
      </w:r>
      <w:r w:rsidRPr="005D38A7">
        <w:rPr>
          <w:rFonts w:ascii="Times New Roman" w:hAnsi="Times New Roman"/>
          <w:sz w:val="24"/>
        </w:rPr>
        <w:t>2022</w:t>
      </w:r>
      <w:r w:rsidRPr="005D38A7">
        <w:rPr>
          <w:rFonts w:ascii="Times New Roman" w:hAnsi="Times New Roman"/>
          <w:sz w:val="24"/>
        </w:rPr>
        <w:t>〕</w:t>
      </w:r>
      <w:r w:rsidRPr="005D38A7">
        <w:rPr>
          <w:rFonts w:ascii="Times New Roman" w:hAnsi="Times New Roman"/>
          <w:sz w:val="24"/>
        </w:rPr>
        <w:t>37</w:t>
      </w:r>
      <w:r w:rsidRPr="005D38A7">
        <w:rPr>
          <w:rFonts w:ascii="Times New Roman" w:hAnsi="Times New Roman"/>
          <w:sz w:val="24"/>
        </w:rPr>
        <w:t>号</w:t>
      </w:r>
      <w:r w:rsidRPr="005D38A7">
        <w:rPr>
          <w:rFonts w:ascii="Times New Roman" w:hAnsi="Times New Roman" w:hint="eastAsia"/>
          <w:sz w:val="24"/>
        </w:rPr>
        <w:t>文件的调整；</w:t>
      </w:r>
    </w:p>
    <w:p w:rsidR="005D38A7" w:rsidRPr="005D38A7" w:rsidRDefault="00C74EC2" w:rsidP="005D38A7">
      <w:pPr>
        <w:spacing w:line="46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4</w:t>
      </w:r>
      <w:r w:rsidR="005D38A7" w:rsidRPr="005D38A7">
        <w:rPr>
          <w:rFonts w:ascii="Times New Roman" w:hAnsi="Times New Roman"/>
          <w:sz w:val="24"/>
        </w:rPr>
        <w:t>.</w:t>
      </w:r>
      <w:r w:rsidR="005D38A7" w:rsidRPr="005D38A7">
        <w:rPr>
          <w:rFonts w:ascii="Times New Roman" w:hAnsi="Times New Roman" w:hint="eastAsia"/>
          <w:sz w:val="24"/>
        </w:rPr>
        <w:t>本</w:t>
      </w:r>
      <w:bookmarkStart w:id="2" w:name="_GoBack"/>
      <w:bookmarkEnd w:id="2"/>
      <w:r w:rsidR="005D38A7" w:rsidRPr="005D38A7">
        <w:rPr>
          <w:rFonts w:ascii="Times New Roman" w:hAnsi="Times New Roman" w:hint="eastAsia"/>
          <w:sz w:val="24"/>
        </w:rPr>
        <w:t>预算编制结果依据</w:t>
      </w:r>
      <w:r w:rsidR="005D38A7" w:rsidRPr="005D38A7">
        <w:rPr>
          <w:rFonts w:ascii="Times New Roman" w:hAnsi="Times New Roman"/>
          <w:sz w:val="24"/>
        </w:rPr>
        <w:t>2018</w:t>
      </w:r>
      <w:r w:rsidR="005D38A7" w:rsidRPr="005D38A7">
        <w:rPr>
          <w:rFonts w:ascii="Times New Roman" w:hAnsi="Times New Roman" w:hint="eastAsia"/>
          <w:sz w:val="24"/>
        </w:rPr>
        <w:t>计价规则已包含常规的“见证取样检测”相关费用，如建设实施过程中需建设方另行支付“见证取样检测”的相关费用，建议在招标文件或施工合同中明确约定如何扣回相关费用</w:t>
      </w:r>
    </w:p>
    <w:p w:rsidR="005D38A7" w:rsidRPr="005D38A7" w:rsidRDefault="00C74EC2" w:rsidP="005D38A7">
      <w:pPr>
        <w:spacing w:line="46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5</w:t>
      </w:r>
      <w:r w:rsidR="005D38A7" w:rsidRPr="005D38A7">
        <w:rPr>
          <w:rFonts w:ascii="Times New Roman" w:hAnsi="Times New Roman"/>
          <w:sz w:val="24"/>
        </w:rPr>
        <w:t xml:space="preserve">. </w:t>
      </w:r>
      <w:r w:rsidR="005D38A7" w:rsidRPr="005D38A7">
        <w:rPr>
          <w:rFonts w:ascii="Times New Roman" w:hAnsi="Times New Roman" w:hint="eastAsia"/>
          <w:sz w:val="24"/>
        </w:rPr>
        <w:t>本预算规费费率已按</w:t>
      </w:r>
      <w:r w:rsidR="005D38A7" w:rsidRPr="005D38A7">
        <w:rPr>
          <w:rFonts w:ascii="Times New Roman" w:hAnsi="Times New Roman"/>
          <w:sz w:val="24"/>
        </w:rPr>
        <w:t>2018</w:t>
      </w:r>
      <w:r w:rsidR="005D38A7" w:rsidRPr="005D38A7">
        <w:rPr>
          <w:rFonts w:ascii="Times New Roman" w:hAnsi="Times New Roman"/>
          <w:sz w:val="24"/>
        </w:rPr>
        <w:t>版计价规则的标准费率计入，招标单位在本建设工程发包时，应依据浙江省住房和城乡建设厅、发展改革委、财政厅联合发布《关于颁发浙江省建设工程计价依据（</w:t>
      </w:r>
      <w:r w:rsidR="005D38A7" w:rsidRPr="005D38A7">
        <w:rPr>
          <w:rFonts w:ascii="Times New Roman" w:hAnsi="Times New Roman"/>
          <w:sz w:val="24"/>
        </w:rPr>
        <w:t>2018</w:t>
      </w:r>
      <w:r w:rsidR="005D38A7" w:rsidRPr="005D38A7">
        <w:rPr>
          <w:rFonts w:ascii="Times New Roman" w:hAnsi="Times New Roman"/>
          <w:sz w:val="24"/>
        </w:rPr>
        <w:t>版）的通知》（浙建建〔</w:t>
      </w:r>
      <w:r w:rsidR="005D38A7" w:rsidRPr="005D38A7">
        <w:rPr>
          <w:rFonts w:ascii="Times New Roman" w:hAnsi="Times New Roman"/>
          <w:sz w:val="24"/>
        </w:rPr>
        <w:t>2018</w:t>
      </w:r>
      <w:r w:rsidR="005D38A7" w:rsidRPr="005D38A7">
        <w:rPr>
          <w:rFonts w:ascii="Times New Roman" w:hAnsi="Times New Roman"/>
          <w:sz w:val="24"/>
        </w:rPr>
        <w:t>〕</w:t>
      </w:r>
      <w:r w:rsidR="005D38A7" w:rsidRPr="005D38A7">
        <w:rPr>
          <w:rFonts w:ascii="Times New Roman" w:hAnsi="Times New Roman"/>
          <w:sz w:val="24"/>
        </w:rPr>
        <w:t>61</w:t>
      </w:r>
      <w:r w:rsidR="005D38A7" w:rsidRPr="005D38A7">
        <w:rPr>
          <w:rFonts w:ascii="Times New Roman" w:hAnsi="Times New Roman"/>
          <w:sz w:val="24"/>
        </w:rPr>
        <w:t>号）文件规定，明确规费费率计算办法，并在招标文件及施工合同条款中予以明确；</w:t>
      </w:r>
    </w:p>
    <w:p w:rsidR="005D38A7" w:rsidRPr="005D38A7" w:rsidRDefault="00C74EC2" w:rsidP="005D38A7">
      <w:pPr>
        <w:spacing w:line="46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6</w:t>
      </w:r>
      <w:r w:rsidR="005D38A7" w:rsidRPr="005D38A7">
        <w:rPr>
          <w:rFonts w:ascii="Times New Roman" w:hAnsi="Times New Roman"/>
          <w:sz w:val="24"/>
        </w:rPr>
        <w:t xml:space="preserve">. </w:t>
      </w:r>
      <w:r w:rsidR="005D38A7" w:rsidRPr="005D38A7">
        <w:rPr>
          <w:rFonts w:ascii="Times New Roman" w:hAnsi="Times New Roman" w:hint="eastAsia"/>
          <w:sz w:val="24"/>
        </w:rPr>
        <w:t>委托方应正确使用本咨询报告，由于使用不当所造成的后果，与受托方无关；</w:t>
      </w:r>
    </w:p>
    <w:p w:rsidR="005D38A7" w:rsidRPr="005D38A7" w:rsidRDefault="00C74EC2" w:rsidP="005D38A7">
      <w:pPr>
        <w:spacing w:line="460" w:lineRule="exact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7</w:t>
      </w:r>
      <w:r w:rsidR="005D38A7" w:rsidRPr="005D38A7">
        <w:rPr>
          <w:rFonts w:ascii="Times New Roman" w:hAnsi="Times New Roman"/>
          <w:sz w:val="24"/>
        </w:rPr>
        <w:t xml:space="preserve">. </w:t>
      </w:r>
      <w:r w:rsidR="005D38A7" w:rsidRPr="005D38A7">
        <w:rPr>
          <w:rFonts w:ascii="Times New Roman" w:hAnsi="Times New Roman" w:hint="eastAsia"/>
          <w:sz w:val="24"/>
        </w:rPr>
        <w:t>本预算编制报告所有涉及金额计量单位均为人民币元。</w:t>
      </w:r>
    </w:p>
    <w:p w:rsidR="005D38A7" w:rsidRDefault="005D38A7">
      <w:pPr>
        <w:spacing w:line="460" w:lineRule="exact"/>
        <w:ind w:firstLineChars="200" w:firstLine="480"/>
        <w:rPr>
          <w:rFonts w:ascii="宋体" w:hAnsi="宋体"/>
          <w:sz w:val="24"/>
        </w:rPr>
      </w:pPr>
    </w:p>
    <w:p w:rsidR="005D38A7" w:rsidRDefault="005D38A7">
      <w:pPr>
        <w:spacing w:line="460" w:lineRule="exact"/>
        <w:ind w:firstLineChars="200" w:firstLine="480"/>
        <w:rPr>
          <w:rFonts w:ascii="宋体" w:hAnsi="宋体"/>
          <w:sz w:val="24"/>
        </w:rPr>
      </w:pPr>
    </w:p>
    <w:p w:rsidR="005D38A7" w:rsidRDefault="00C74EC2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</w:t>
      </w:r>
      <w:r>
        <w:rPr>
          <w:rFonts w:ascii="Times New Roman" w:hAnsi="Times New Roman"/>
          <w:sz w:val="24"/>
        </w:rPr>
        <w:t>浙江中永工程咨询有限公司</w:t>
      </w:r>
    </w:p>
    <w:p w:rsidR="005D38A7" w:rsidRDefault="00C74EC2" w:rsidP="00C74A60">
      <w:pPr>
        <w:spacing w:line="460" w:lineRule="exact"/>
        <w:ind w:firstLineChars="200" w:firstLine="480"/>
      </w:pPr>
      <w:r>
        <w:rPr>
          <w:rFonts w:ascii="Times New Roman" w:hAnsi="Times New Roman"/>
          <w:sz w:val="24"/>
        </w:rPr>
        <w:t>二〇二</w:t>
      </w:r>
      <w:r>
        <w:rPr>
          <w:rFonts w:ascii="Times New Roman" w:hAnsi="Times New Roman" w:hint="eastAsia"/>
          <w:sz w:val="24"/>
        </w:rPr>
        <w:t>三</w:t>
      </w:r>
      <w:r>
        <w:rPr>
          <w:rFonts w:ascii="Times New Roman" w:hAnsi="Times New Roman"/>
          <w:sz w:val="24"/>
        </w:rPr>
        <w:t>年</w:t>
      </w:r>
      <w:r>
        <w:rPr>
          <w:rFonts w:ascii="Times New Roman" w:hAnsi="Times New Roman" w:hint="eastAsia"/>
          <w:sz w:val="24"/>
        </w:rPr>
        <w:t>七</w:t>
      </w:r>
      <w:r>
        <w:rPr>
          <w:rFonts w:ascii="Times New Roman" w:hAnsi="Times New Roman"/>
          <w:sz w:val="24"/>
        </w:rPr>
        <w:t>月</w:t>
      </w:r>
      <w:r>
        <w:rPr>
          <w:rFonts w:ascii="Times New Roman" w:hAnsi="Times New Roman" w:hint="eastAsia"/>
          <w:sz w:val="24"/>
        </w:rPr>
        <w:t>三</w:t>
      </w:r>
      <w:r>
        <w:rPr>
          <w:rFonts w:ascii="Times New Roman" w:hAnsi="Times New Roman"/>
          <w:sz w:val="24"/>
        </w:rPr>
        <w:t>日</w:t>
      </w:r>
    </w:p>
    <w:sectPr w:rsidR="005D38A7" w:rsidSect="005D38A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EC2" w:rsidRDefault="00C74EC2" w:rsidP="00C74A60">
      <w:r>
        <w:separator/>
      </w:r>
    </w:p>
  </w:endnote>
  <w:endnote w:type="continuationSeparator" w:id="1">
    <w:p w:rsidR="00C74EC2" w:rsidRDefault="00C74EC2" w:rsidP="00C74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EC2" w:rsidRDefault="00C74EC2" w:rsidP="00C74A60">
      <w:r>
        <w:separator/>
      </w:r>
    </w:p>
  </w:footnote>
  <w:footnote w:type="continuationSeparator" w:id="1">
    <w:p w:rsidR="00C74EC2" w:rsidRDefault="00C74EC2" w:rsidP="00C74A6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pszlz">
    <w15:presenceInfo w15:providerId="None" w15:userId="jpszlz"/>
  </w15:person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WRmZjYwNDkyNWI2ZDc2ZmRhNDQ2ZDg0NjhiZmUxZTkifQ=="/>
  </w:docVars>
  <w:rsids>
    <w:rsidRoot w:val="17A35893"/>
    <w:rsid w:val="003122E6"/>
    <w:rsid w:val="0034742D"/>
    <w:rsid w:val="00355DB1"/>
    <w:rsid w:val="005D38A7"/>
    <w:rsid w:val="00C74A60"/>
    <w:rsid w:val="00C74EC2"/>
    <w:rsid w:val="00F91AC8"/>
    <w:rsid w:val="02C3460A"/>
    <w:rsid w:val="04254DF6"/>
    <w:rsid w:val="048D7F6A"/>
    <w:rsid w:val="0596231F"/>
    <w:rsid w:val="06FD0085"/>
    <w:rsid w:val="0B5F1B77"/>
    <w:rsid w:val="0BF03FF7"/>
    <w:rsid w:val="17A35893"/>
    <w:rsid w:val="19B600B0"/>
    <w:rsid w:val="1BE67CF9"/>
    <w:rsid w:val="1E682698"/>
    <w:rsid w:val="209150AE"/>
    <w:rsid w:val="23C91D2E"/>
    <w:rsid w:val="253A672A"/>
    <w:rsid w:val="26CA0E79"/>
    <w:rsid w:val="2CED6B8B"/>
    <w:rsid w:val="2EA42713"/>
    <w:rsid w:val="31AE58EC"/>
    <w:rsid w:val="32333292"/>
    <w:rsid w:val="3C521374"/>
    <w:rsid w:val="3CD15832"/>
    <w:rsid w:val="4E1A2796"/>
    <w:rsid w:val="51AC3569"/>
    <w:rsid w:val="58DD1969"/>
    <w:rsid w:val="5A371CA1"/>
    <w:rsid w:val="5C9D787A"/>
    <w:rsid w:val="5FFE36B9"/>
    <w:rsid w:val="60E1593A"/>
    <w:rsid w:val="62862A2A"/>
    <w:rsid w:val="655A0520"/>
    <w:rsid w:val="69303AFB"/>
    <w:rsid w:val="6ED722D3"/>
    <w:rsid w:val="73E71EA8"/>
    <w:rsid w:val="75186B18"/>
    <w:rsid w:val="756134E7"/>
    <w:rsid w:val="759C31BE"/>
    <w:rsid w:val="78A93944"/>
    <w:rsid w:val="793E33EA"/>
    <w:rsid w:val="7A251440"/>
    <w:rsid w:val="7A65732D"/>
    <w:rsid w:val="7A7B0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38A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3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D38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sid w:val="005D38A7"/>
    <w:rPr>
      <w:color w:val="5579A7"/>
      <w:u w:val="none"/>
    </w:rPr>
  </w:style>
  <w:style w:type="character" w:customStyle="1" w:styleId="jbox-icon-warning">
    <w:name w:val="jbox-icon-warning"/>
    <w:basedOn w:val="a0"/>
    <w:qFormat/>
    <w:rsid w:val="005D38A7"/>
  </w:style>
  <w:style w:type="character" w:customStyle="1" w:styleId="jbox-icon-info">
    <w:name w:val="jbox-icon-info"/>
    <w:basedOn w:val="a0"/>
    <w:qFormat/>
    <w:rsid w:val="005D38A7"/>
  </w:style>
  <w:style w:type="character" w:customStyle="1" w:styleId="jbox-icon">
    <w:name w:val="jbox-icon"/>
    <w:basedOn w:val="a0"/>
    <w:rsid w:val="005D38A7"/>
  </w:style>
  <w:style w:type="character" w:customStyle="1" w:styleId="jbox-icon-none">
    <w:name w:val="jbox-icon-none"/>
    <w:basedOn w:val="a0"/>
    <w:rsid w:val="005D38A7"/>
    <w:rPr>
      <w:vanish/>
    </w:rPr>
  </w:style>
  <w:style w:type="character" w:customStyle="1" w:styleId="jbox-icon-loading">
    <w:name w:val="jbox-icon-loading"/>
    <w:basedOn w:val="a0"/>
    <w:rsid w:val="005D38A7"/>
  </w:style>
  <w:style w:type="character" w:customStyle="1" w:styleId="jbox-icon-success">
    <w:name w:val="jbox-icon-success"/>
    <w:basedOn w:val="a0"/>
    <w:qFormat/>
    <w:rsid w:val="005D38A7"/>
  </w:style>
  <w:style w:type="character" w:customStyle="1" w:styleId="jbox-icon-question">
    <w:name w:val="jbox-icon-question"/>
    <w:basedOn w:val="a0"/>
    <w:rsid w:val="005D38A7"/>
  </w:style>
  <w:style w:type="character" w:customStyle="1" w:styleId="jbox-icon-error">
    <w:name w:val="jbox-icon-error"/>
    <w:basedOn w:val="a0"/>
    <w:qFormat/>
    <w:rsid w:val="005D38A7"/>
  </w:style>
  <w:style w:type="paragraph" w:customStyle="1" w:styleId="1">
    <w:name w:val="修订1"/>
    <w:hidden/>
    <w:uiPriority w:val="99"/>
    <w:unhideWhenUsed/>
    <w:qFormat/>
    <w:rsid w:val="005D38A7"/>
    <w:rPr>
      <w:rFonts w:ascii="Calibri" w:hAnsi="Calibri"/>
      <w:kern w:val="2"/>
      <w:sz w:val="21"/>
      <w:szCs w:val="24"/>
    </w:rPr>
  </w:style>
  <w:style w:type="character" w:customStyle="1" w:styleId="Char0">
    <w:name w:val="页眉 Char"/>
    <w:basedOn w:val="a0"/>
    <w:link w:val="a4"/>
    <w:rsid w:val="005D38A7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5D38A7"/>
    <w:rPr>
      <w:rFonts w:ascii="Calibri" w:hAnsi="Calibri"/>
      <w:kern w:val="2"/>
      <w:sz w:val="18"/>
      <w:szCs w:val="18"/>
    </w:rPr>
  </w:style>
  <w:style w:type="paragraph" w:customStyle="1" w:styleId="2">
    <w:name w:val="修订2"/>
    <w:hidden/>
    <w:uiPriority w:val="99"/>
    <w:unhideWhenUsed/>
    <w:rsid w:val="005D38A7"/>
    <w:rPr>
      <w:rFonts w:ascii="Calibri" w:hAnsi="Calibri"/>
      <w:kern w:val="2"/>
      <w:sz w:val="21"/>
      <w:szCs w:val="24"/>
    </w:rPr>
  </w:style>
  <w:style w:type="paragraph" w:styleId="a6">
    <w:name w:val="Balloon Text"/>
    <w:basedOn w:val="a"/>
    <w:link w:val="Char1"/>
    <w:rsid w:val="00C74A60"/>
    <w:rPr>
      <w:sz w:val="18"/>
      <w:szCs w:val="18"/>
    </w:rPr>
  </w:style>
  <w:style w:type="character" w:customStyle="1" w:styleId="Char1">
    <w:name w:val="批注框文本 Char"/>
    <w:basedOn w:val="a0"/>
    <w:link w:val="a6"/>
    <w:rsid w:val="00C74A6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WPS_1639359217</dc:creator>
  <cp:lastModifiedBy>Administrator</cp:lastModifiedBy>
  <cp:revision>10</cp:revision>
  <dcterms:created xsi:type="dcterms:W3CDTF">2022-10-19T06:35:00Z</dcterms:created>
  <dcterms:modified xsi:type="dcterms:W3CDTF">2023-10-07T08:11:00Z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DB3E1F3CE2444DD38DD829BC1A8986F6</vt:lpwstr>
  </property>
</Properties>
</file>